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C4" w:rsidRPr="0062772D" w:rsidRDefault="004A5FC4" w:rsidP="000B3392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>Информационная карта тендера</w:t>
      </w:r>
    </w:p>
    <w:p w:rsidR="004A5FC4" w:rsidRPr="0062772D" w:rsidRDefault="004A5FC4" w:rsidP="00522DA1">
      <w:pPr>
        <w:autoSpaceDE w:val="0"/>
        <w:autoSpaceDN w:val="0"/>
        <w:adjustRightInd w:val="0"/>
        <w:spacing w:line="360" w:lineRule="auto"/>
        <w:ind w:left="540"/>
        <w:jc w:val="center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>Заказчик – ОАО «</w:t>
      </w:r>
      <w:proofErr w:type="spellStart"/>
      <w:r w:rsidRPr="0062772D">
        <w:rPr>
          <w:b/>
          <w:sz w:val="22"/>
          <w:szCs w:val="22"/>
        </w:rPr>
        <w:t>Копейский</w:t>
      </w:r>
      <w:proofErr w:type="spellEnd"/>
      <w:r w:rsidRPr="0062772D">
        <w:rPr>
          <w:b/>
          <w:sz w:val="22"/>
          <w:szCs w:val="22"/>
        </w:rPr>
        <w:t xml:space="preserve"> машиностроительный завод»</w:t>
      </w:r>
    </w:p>
    <w:p w:rsidR="004A5FC4" w:rsidRPr="0062772D" w:rsidRDefault="004A5FC4" w:rsidP="00522DA1">
      <w:pPr>
        <w:autoSpaceDE w:val="0"/>
        <w:autoSpaceDN w:val="0"/>
        <w:adjustRightInd w:val="0"/>
        <w:spacing w:line="360" w:lineRule="auto"/>
        <w:ind w:left="540"/>
        <w:jc w:val="center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 xml:space="preserve"> 456600, Челябинская область, г. Копейск, ул. Ленина 24</w:t>
      </w:r>
    </w:p>
    <w:p w:rsidR="004A5FC4" w:rsidRPr="0062772D" w:rsidRDefault="004A5FC4" w:rsidP="00522DA1">
      <w:pPr>
        <w:autoSpaceDE w:val="0"/>
        <w:autoSpaceDN w:val="0"/>
        <w:adjustRightInd w:val="0"/>
        <w:spacing w:line="360" w:lineRule="auto"/>
        <w:ind w:left="540"/>
        <w:jc w:val="center"/>
        <w:rPr>
          <w:b/>
          <w:sz w:val="22"/>
          <w:szCs w:val="22"/>
        </w:rPr>
      </w:pPr>
    </w:p>
    <w:p w:rsidR="004A5FC4" w:rsidRPr="005D6167" w:rsidRDefault="004A5FC4" w:rsidP="00522DA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 xml:space="preserve">Предмет тендера: </w:t>
      </w:r>
      <w:r w:rsidR="000B3392" w:rsidRPr="000B3392">
        <w:rPr>
          <w:b/>
          <w:sz w:val="22"/>
          <w:szCs w:val="22"/>
        </w:rPr>
        <w:t xml:space="preserve">определение </w:t>
      </w:r>
      <w:r w:rsidR="005C1C87">
        <w:rPr>
          <w:b/>
          <w:sz w:val="22"/>
          <w:szCs w:val="22"/>
        </w:rPr>
        <w:t xml:space="preserve">подрядчика на выполнение </w:t>
      </w:r>
      <w:r w:rsidR="0068669F">
        <w:rPr>
          <w:b/>
          <w:sz w:val="22"/>
          <w:szCs w:val="22"/>
        </w:rPr>
        <w:t xml:space="preserve">системы </w:t>
      </w:r>
      <w:proofErr w:type="spellStart"/>
      <w:r w:rsidR="0068669F">
        <w:rPr>
          <w:b/>
          <w:sz w:val="22"/>
          <w:szCs w:val="22"/>
        </w:rPr>
        <w:t>теплоскат</w:t>
      </w:r>
      <w:proofErr w:type="spellEnd"/>
      <w:r w:rsidR="0068669F">
        <w:rPr>
          <w:b/>
          <w:sz w:val="22"/>
          <w:szCs w:val="22"/>
        </w:rPr>
        <w:t xml:space="preserve"> литейного цеха ОАО «КМЗ»</w:t>
      </w:r>
      <w:r w:rsidR="000B3392" w:rsidRPr="000B3392">
        <w:rPr>
          <w:b/>
          <w:sz w:val="22"/>
          <w:szCs w:val="22"/>
        </w:rPr>
        <w:t>.</w:t>
      </w:r>
      <w:r w:rsidR="000B3392" w:rsidRPr="000B3392">
        <w:rPr>
          <w:b/>
          <w:sz w:val="22"/>
          <w:szCs w:val="22"/>
        </w:rPr>
        <w:tab/>
      </w:r>
    </w:p>
    <w:p w:rsidR="004A5FC4" w:rsidRPr="0062772D" w:rsidRDefault="004A5FC4" w:rsidP="00522DA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gramStart"/>
      <w:r w:rsidRPr="000B3392">
        <w:rPr>
          <w:b/>
          <w:sz w:val="22"/>
          <w:szCs w:val="22"/>
        </w:rPr>
        <w:t>Адрес поставки, оказания услуг, место проведения работ:</w:t>
      </w:r>
      <w:r>
        <w:rPr>
          <w:sz w:val="22"/>
          <w:szCs w:val="22"/>
        </w:rPr>
        <w:t xml:space="preserve"> </w:t>
      </w:r>
      <w:r w:rsidRPr="0062772D">
        <w:rPr>
          <w:sz w:val="22"/>
          <w:szCs w:val="22"/>
        </w:rPr>
        <w:t xml:space="preserve"> </w:t>
      </w:r>
      <w:r>
        <w:rPr>
          <w:sz w:val="22"/>
          <w:szCs w:val="22"/>
        </w:rPr>
        <w:t>456600 ,</w:t>
      </w:r>
      <w:r w:rsidRPr="0062772D">
        <w:rPr>
          <w:sz w:val="22"/>
          <w:szCs w:val="22"/>
        </w:rPr>
        <w:t>Челябинская область, г. Копейск, ул. Ленина, 24</w:t>
      </w:r>
      <w:proofErr w:type="gramEnd"/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00"/>
        <w:gridCol w:w="6541"/>
      </w:tblGrid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Наименование раздела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Содержание раздела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Вид и предмет тендера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68669F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Открытый тендер определение подрядчика на выполнение </w:t>
            </w:r>
            <w:r w:rsidR="0068669F">
              <w:rPr>
                <w:rFonts w:ascii="Arial" w:hAnsi="Arial" w:cs="Arial"/>
                <w:sz w:val="20"/>
                <w:szCs w:val="20"/>
              </w:rPr>
              <w:t xml:space="preserve">системы </w:t>
            </w:r>
            <w:proofErr w:type="spellStart"/>
            <w:r w:rsidR="0068669F">
              <w:rPr>
                <w:rFonts w:ascii="Arial" w:hAnsi="Arial" w:cs="Arial"/>
                <w:sz w:val="20"/>
                <w:szCs w:val="20"/>
              </w:rPr>
              <w:t>теплоскат</w:t>
            </w:r>
            <w:proofErr w:type="spellEnd"/>
            <w:r w:rsidR="0068669F">
              <w:rPr>
                <w:rFonts w:ascii="Arial" w:hAnsi="Arial" w:cs="Arial"/>
                <w:sz w:val="20"/>
                <w:szCs w:val="20"/>
              </w:rPr>
              <w:t xml:space="preserve"> с восточной стороны литейного цеха для предотвращения образования наледи на нижней части кровли, в водостоках и желобах</w:t>
            </w:r>
            <w:r w:rsidR="009A6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943A3F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Условия и сроки выполнения работ</w:t>
            </w:r>
          </w:p>
        </w:tc>
        <w:tc>
          <w:tcPr>
            <w:tcW w:w="6541" w:type="dxa"/>
            <w:vAlign w:val="center"/>
          </w:tcPr>
          <w:p w:rsidR="00D10CA4" w:rsidRPr="007A578A" w:rsidRDefault="00922AC5" w:rsidP="00827476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месяца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- безналичный расчет;</w:t>
            </w:r>
          </w:p>
          <w:p w:rsidR="00D10CA4" w:rsidRPr="007A578A" w:rsidRDefault="00D10CA4" w:rsidP="00922AC5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- отсрочка </w:t>
            </w:r>
            <w:r w:rsidR="009A6BE8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w:rsidR="00922AC5">
              <w:rPr>
                <w:rFonts w:ascii="Arial" w:hAnsi="Arial" w:cs="Arial"/>
                <w:sz w:val="20"/>
                <w:szCs w:val="20"/>
              </w:rPr>
              <w:t>за фактически выполненный объем работ до 60 дней</w:t>
            </w:r>
            <w:r w:rsidR="009A6B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E72807">
            <w:pPr>
              <w:keepNext/>
              <w:widowControl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Валюта, используемая для формирования цены договора и расчетов с исполнителями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E72807">
            <w:pPr>
              <w:keepNext/>
              <w:widowControl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Рубль РФ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1D698B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Требования </w:t>
            </w:r>
          </w:p>
        </w:tc>
        <w:tc>
          <w:tcPr>
            <w:tcW w:w="6541" w:type="dxa"/>
            <w:vAlign w:val="center"/>
          </w:tcPr>
          <w:p w:rsidR="00D10CA4" w:rsidRDefault="00D10CA4" w:rsidP="00612EE5">
            <w:pPr>
              <w:numPr>
                <w:ilvl w:val="0"/>
                <w:numId w:val="10"/>
              </w:numPr>
              <w:tabs>
                <w:tab w:val="left" w:pos="452"/>
              </w:tabs>
              <w:spacing w:line="240" w:lineRule="exact"/>
              <w:ind w:left="45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участник не должен находиться в Реестре недобросовестных Подрядчиков (Поставщиков, Исп</w:t>
            </w:r>
            <w:r w:rsidR="009A0419">
              <w:rPr>
                <w:rFonts w:ascii="Arial" w:hAnsi="Arial" w:cs="Arial"/>
                <w:sz w:val="20"/>
                <w:szCs w:val="20"/>
              </w:rPr>
              <w:t>олнителей) сторонних Заказчиков;</w:t>
            </w:r>
          </w:p>
          <w:p w:rsidR="009A0419" w:rsidRDefault="000950B4" w:rsidP="000950B4">
            <w:pPr>
              <w:numPr>
                <w:ilvl w:val="0"/>
                <w:numId w:val="10"/>
              </w:numPr>
              <w:tabs>
                <w:tab w:val="left" w:pos="452"/>
              </w:tabs>
              <w:spacing w:line="240" w:lineRule="exact"/>
              <w:ind w:left="45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 требованиям СП, СНИП, действующие на территории РФ;</w:t>
            </w:r>
          </w:p>
          <w:p w:rsidR="000950B4" w:rsidRDefault="000950B4" w:rsidP="000950B4">
            <w:pPr>
              <w:numPr>
                <w:ilvl w:val="0"/>
                <w:numId w:val="10"/>
              </w:numPr>
              <w:tabs>
                <w:tab w:val="left" w:pos="452"/>
              </w:tabs>
              <w:spacing w:line="240" w:lineRule="exact"/>
              <w:ind w:left="45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гарантийные обязательства не менее 24 месяцев;</w:t>
            </w:r>
          </w:p>
          <w:p w:rsidR="000950B4" w:rsidRPr="007A578A" w:rsidRDefault="000950B4" w:rsidP="000950B4">
            <w:pPr>
              <w:numPr>
                <w:ilvl w:val="0"/>
                <w:numId w:val="10"/>
              </w:numPr>
              <w:tabs>
                <w:tab w:val="left" w:pos="452"/>
              </w:tabs>
              <w:spacing w:line="240" w:lineRule="exact"/>
              <w:ind w:left="452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сертификатов соответствия и качества на используемые строительные материалы.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1D698B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523BEF">
            <w:pPr>
              <w:tabs>
                <w:tab w:val="left" w:pos="6015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Цена договора должна включать стоимость работ,  а так же  налоги, сборы и другие обязательные платежи.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Требования к участникам размещения заказа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D10CA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Соответствие Участника требованиям, предъявляемым законодательством Российской Федерации к лицам, осуществляющим поставки товаров, выполнение работ, оказание услуг, являющихся предметом тендера.</w:t>
            </w:r>
          </w:p>
          <w:p w:rsidR="00D10CA4" w:rsidRPr="007A578A" w:rsidRDefault="00D10CA4" w:rsidP="00D10CA4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578A">
              <w:rPr>
                <w:rFonts w:ascii="Arial" w:hAnsi="Arial" w:cs="Arial"/>
                <w:sz w:val="20"/>
                <w:szCs w:val="20"/>
              </w:rPr>
              <w:t>Непроведение</w:t>
            </w:r>
            <w:proofErr w:type="spellEnd"/>
            <w:r w:rsidRPr="007A578A">
              <w:rPr>
                <w:rFonts w:ascii="Arial" w:hAnsi="Arial" w:cs="Arial"/>
                <w:sz w:val="20"/>
                <w:szCs w:val="20"/>
              </w:rPr>
              <w:t xml:space="preserve"> ликвидации Участника размещения заказа – юридического лица и отсутствии решения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производства.</w:t>
            </w:r>
          </w:p>
          <w:p w:rsidR="00D10CA4" w:rsidRPr="007A578A" w:rsidRDefault="00D10CA4" w:rsidP="00D10CA4">
            <w:pPr>
              <w:shd w:val="clear" w:color="auto" w:fill="FFFFFF"/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578A">
              <w:rPr>
                <w:rFonts w:ascii="Arial" w:hAnsi="Arial" w:cs="Arial"/>
                <w:sz w:val="20"/>
                <w:szCs w:val="20"/>
              </w:rPr>
              <w:t>Неприостановление</w:t>
            </w:r>
            <w:proofErr w:type="spellEnd"/>
            <w:r w:rsidRPr="007A578A">
              <w:rPr>
                <w:rFonts w:ascii="Arial" w:hAnsi="Arial" w:cs="Arial"/>
                <w:sz w:val="20"/>
                <w:szCs w:val="20"/>
              </w:rPr>
              <w:t xml:space="preserve"> деятельности Участника в порядке, предусмотренном Кодексом РФ об административных правонарушениях, на день подачи заявки на участие в тендере.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Критерии оценки заявок на участие в тендере</w:t>
            </w:r>
          </w:p>
        </w:tc>
        <w:tc>
          <w:tcPr>
            <w:tcW w:w="6541" w:type="dxa"/>
            <w:vAlign w:val="center"/>
          </w:tcPr>
          <w:p w:rsidR="00D10CA4" w:rsidRPr="007A578A" w:rsidRDefault="0040709C" w:rsidP="008F2D5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договора</w:t>
            </w:r>
            <w:r w:rsidR="00D10CA4" w:rsidRPr="007A578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10CA4" w:rsidRPr="007A578A" w:rsidRDefault="009A6BE8" w:rsidP="00F6599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Отсрочка платежа</w:t>
            </w:r>
            <w:r w:rsidR="00D10CA4" w:rsidRPr="007A578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10CA4" w:rsidRDefault="00D10CA4" w:rsidP="00F6599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 w:rsidR="0040709C">
              <w:rPr>
                <w:rFonts w:ascii="Arial" w:hAnsi="Arial" w:cs="Arial"/>
                <w:sz w:val="20"/>
                <w:szCs w:val="20"/>
              </w:rPr>
              <w:t>выполнения  работ;</w:t>
            </w:r>
          </w:p>
          <w:p w:rsidR="0040709C" w:rsidRPr="007A578A" w:rsidRDefault="0040709C" w:rsidP="00F6599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предоставления гарантии качества.</w:t>
            </w:r>
          </w:p>
        </w:tc>
      </w:tr>
      <w:tr w:rsidR="00D10CA4" w:rsidRPr="007A578A" w:rsidTr="00D10CA4">
        <w:tc>
          <w:tcPr>
            <w:tcW w:w="534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E72807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Порядок оценки заявок на участие в тендере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D76660">
            <w:pPr>
              <w:pStyle w:val="a3"/>
              <w:spacing w:line="24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Оценка и сопоставление заявок участников размещения заказа, допущенных к участию в тендере, осуществляется тендерной  комиссией в следующем порядке, установленным Положением о порядке проведение тендеров на ОАО «КМЗ»:</w:t>
            </w:r>
          </w:p>
          <w:p w:rsidR="00D10CA4" w:rsidRPr="007A578A" w:rsidRDefault="00D10CA4" w:rsidP="00D76660">
            <w:pPr>
              <w:pStyle w:val="a3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Максимальное количество баллов:</w:t>
            </w:r>
          </w:p>
          <w:p w:rsidR="00D10CA4" w:rsidRPr="007A578A" w:rsidRDefault="00D10CA4" w:rsidP="00D76660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Для оценки критерия «Минимальная цена» предусмотрено максимальное количество баллов-10. </w:t>
            </w:r>
          </w:p>
          <w:p w:rsidR="00D10CA4" w:rsidRPr="007A578A" w:rsidRDefault="00D10CA4" w:rsidP="00D76660">
            <w:pPr>
              <w:pStyle w:val="a3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Участник тендера,  предложивший наименьшую цену договора, получает максимальное количество баллов. </w:t>
            </w:r>
          </w:p>
          <w:p w:rsidR="00D10CA4" w:rsidRPr="007A578A" w:rsidRDefault="00D10CA4" w:rsidP="00D76660">
            <w:pPr>
              <w:pStyle w:val="a3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Для каждого из остальных участников тендера количество баллов по этому критерию определяется как величина, обратно пропорциональная величине,</w:t>
            </w:r>
            <w:r w:rsidR="0040709C">
              <w:rPr>
                <w:rFonts w:ascii="Arial" w:hAnsi="Arial" w:cs="Arial"/>
                <w:sz w:val="20"/>
                <w:szCs w:val="20"/>
              </w:rPr>
              <w:t xml:space="preserve"> предложенной им </w:t>
            </w:r>
            <w:r w:rsidR="0040709C">
              <w:rPr>
                <w:rFonts w:ascii="Arial" w:hAnsi="Arial" w:cs="Arial"/>
                <w:sz w:val="20"/>
                <w:szCs w:val="20"/>
              </w:rPr>
              <w:lastRenderedPageBreak/>
              <w:t>цены контракта. Для проведения более качественной оценки по данному критерию участнику рекомендуется представить локальный сметный расчет в базовых и текущих ценах</w:t>
            </w:r>
            <w:proofErr w:type="gramStart"/>
            <w:r w:rsidR="0040709C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:rsidR="00D10CA4" w:rsidRPr="007A578A" w:rsidRDefault="00D10CA4" w:rsidP="006B7F23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Для оценки критерия «</w:t>
            </w:r>
            <w:r w:rsidR="009A6BE8">
              <w:rPr>
                <w:rFonts w:ascii="Arial" w:hAnsi="Arial" w:cs="Arial"/>
                <w:sz w:val="20"/>
                <w:szCs w:val="20"/>
              </w:rPr>
              <w:t>Максимальная отсрочка платежа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» предусмотрено максимальное количество баллов -10,  минимальное- 0. Участник тендера,  предложивший наибольший </w:t>
            </w:r>
            <w:r w:rsidR="009A6BE8">
              <w:rPr>
                <w:rFonts w:ascii="Arial" w:hAnsi="Arial" w:cs="Arial"/>
                <w:sz w:val="20"/>
                <w:szCs w:val="20"/>
              </w:rPr>
              <w:t>отсрочку платежа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 получает максимальное количество баллов.</w:t>
            </w:r>
          </w:p>
          <w:p w:rsidR="00D10CA4" w:rsidRPr="007A578A" w:rsidRDefault="00D10CA4" w:rsidP="00D76660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Для оценки критерия «Сроки выполнения  работ» предусмотрено максимальное количество баллов-10. </w:t>
            </w:r>
          </w:p>
          <w:p w:rsidR="00D10CA4" w:rsidRDefault="00D10CA4" w:rsidP="00D76660">
            <w:pPr>
              <w:pStyle w:val="a3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Участник тендера,  предложивший наименьший срок выполнения работ получает максимальное количество баллов.</w:t>
            </w:r>
            <w:r w:rsidR="0040709C">
              <w:rPr>
                <w:rFonts w:ascii="Arial" w:hAnsi="Arial" w:cs="Arial"/>
                <w:sz w:val="20"/>
                <w:szCs w:val="20"/>
              </w:rPr>
              <w:t xml:space="preserve"> Для возможности подсчета баллов по данному критерию участникам размещения заказа необходимо указать общее количество дней для выполнения всего объема работ.</w:t>
            </w:r>
          </w:p>
          <w:p w:rsidR="0040709C" w:rsidRPr="009A0419" w:rsidRDefault="0040709C" w:rsidP="009A0419">
            <w:pPr>
              <w:pStyle w:val="a3"/>
              <w:spacing w:line="240" w:lineRule="exact"/>
              <w:ind w:left="735" w:hanging="735"/>
              <w:rPr>
                <w:rFonts w:ascii="Arial" w:hAnsi="Arial" w:cs="Arial"/>
                <w:sz w:val="20"/>
                <w:szCs w:val="20"/>
              </w:rPr>
            </w:pPr>
            <w:r w:rsidRPr="0040709C">
              <w:rPr>
                <w:rFonts w:ascii="Arial" w:hAnsi="Arial" w:cs="Arial"/>
                <w:b/>
                <w:sz w:val="20"/>
                <w:szCs w:val="20"/>
              </w:rPr>
              <w:t xml:space="preserve">       4.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A0419">
              <w:rPr>
                <w:rFonts w:ascii="Arial" w:hAnsi="Arial" w:cs="Arial"/>
                <w:sz w:val="20"/>
                <w:szCs w:val="20"/>
              </w:rPr>
              <w:t xml:space="preserve">Для оценки критерия «Срок предоставления гарантии качества работ» предусмотрено максимальное количество баллов-10. Участник тендера, </w:t>
            </w:r>
            <w:r w:rsidR="009A0419" w:rsidRPr="009A0419">
              <w:rPr>
                <w:rFonts w:ascii="Arial" w:hAnsi="Arial" w:cs="Arial"/>
                <w:sz w:val="20"/>
                <w:szCs w:val="20"/>
              </w:rPr>
              <w:t>предложивший</w:t>
            </w:r>
            <w:r w:rsidRPr="009A0419">
              <w:rPr>
                <w:rFonts w:ascii="Arial" w:hAnsi="Arial" w:cs="Arial"/>
                <w:sz w:val="20"/>
                <w:szCs w:val="20"/>
              </w:rPr>
              <w:t xml:space="preserve"> наибольший реальный гарантийный срок, который не может быть меньше установленного Заказчиком, получает</w:t>
            </w:r>
            <w:r w:rsidR="009A0419" w:rsidRPr="009A0419">
              <w:rPr>
                <w:rFonts w:ascii="Arial" w:hAnsi="Arial" w:cs="Arial"/>
                <w:sz w:val="20"/>
                <w:szCs w:val="20"/>
              </w:rPr>
              <w:t xml:space="preserve"> максимальное количество баллов, участник, предложивший наименьший гарантийный срок – меньшее количество баллов.</w:t>
            </w:r>
          </w:p>
          <w:p w:rsidR="00D10CA4" w:rsidRDefault="00D10CA4" w:rsidP="00D76660">
            <w:pPr>
              <w:pStyle w:val="a3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Оценка заявки участника конкурса осуществляется путём сложения баллов по </w:t>
            </w:r>
            <w:r w:rsidR="009A0419">
              <w:rPr>
                <w:rFonts w:ascii="Arial" w:hAnsi="Arial" w:cs="Arial"/>
                <w:sz w:val="20"/>
                <w:szCs w:val="20"/>
              </w:rPr>
              <w:t>всем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 критериям.</w:t>
            </w:r>
          </w:p>
          <w:p w:rsidR="00D10CA4" w:rsidRPr="007A578A" w:rsidRDefault="00D10CA4" w:rsidP="00D76660">
            <w:pPr>
              <w:pStyle w:val="a3"/>
              <w:autoSpaceDE w:val="0"/>
              <w:autoSpaceDN w:val="0"/>
              <w:adjustRightInd w:val="0"/>
              <w:spacing w:line="240" w:lineRule="exact"/>
              <w:ind w:left="168"/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На основании результатов оценки и сопоставления заявок конкурсная комиссия выстраивает заявки в порядке убывания полученных оценок. Каждой заявке присваивается порядковый номер. Заявке на участие в конкурсе, у которой наибольшее количество баллов, присваивается первый номер.</w:t>
            </w:r>
          </w:p>
        </w:tc>
      </w:tr>
      <w:tr w:rsidR="00D10CA4" w:rsidRPr="007A578A" w:rsidTr="007A578A">
        <w:tc>
          <w:tcPr>
            <w:tcW w:w="534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Контактное лицо 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Секретарь закупочной комиссии – Моисеева Нина </w:t>
            </w:r>
            <w:r w:rsidR="007A578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Тел. </w:t>
            </w:r>
            <w:r w:rsidRPr="007A578A">
              <w:rPr>
                <w:rFonts w:ascii="Arial" w:hAnsi="Arial" w:cs="Arial"/>
                <w:sz w:val="20"/>
                <w:szCs w:val="20"/>
                <w:lang w:val="en-US"/>
              </w:rPr>
              <w:t xml:space="preserve">(35139) 9-28-70, </w:t>
            </w:r>
            <w:proofErr w:type="gramStart"/>
            <w:r w:rsidRPr="007A578A"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  <w:r w:rsidRPr="007A578A">
              <w:rPr>
                <w:rFonts w:ascii="Arial" w:hAnsi="Arial" w:cs="Arial"/>
                <w:sz w:val="20"/>
                <w:szCs w:val="20"/>
                <w:lang w:val="en-US"/>
              </w:rPr>
              <w:t>-mail: moiseeva_na@kopemash.ru</w:t>
            </w:r>
          </w:p>
        </w:tc>
      </w:tr>
      <w:tr w:rsidR="00D10CA4" w:rsidRPr="007A578A" w:rsidTr="007A578A">
        <w:tc>
          <w:tcPr>
            <w:tcW w:w="534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Требования к оформлению заявок на участие в тендере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Заявка на участие в тендере, поданная участником в письменной форме, оформляется согласно «Перечня требований к тендерной документации» и приложений к нему.</w:t>
            </w:r>
          </w:p>
        </w:tc>
      </w:tr>
      <w:tr w:rsidR="00D10CA4" w:rsidRPr="007A578A" w:rsidTr="007A578A">
        <w:tc>
          <w:tcPr>
            <w:tcW w:w="534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Дата оглашения результатов тендера 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Оглашение результатов тендера будет произведено путем направления уведомлений всем участникам тендера в течение 3-х дней после подписания итогового протокола тендера.</w:t>
            </w:r>
          </w:p>
        </w:tc>
      </w:tr>
      <w:tr w:rsidR="00D10CA4" w:rsidRPr="007A578A" w:rsidTr="007A578A">
        <w:tc>
          <w:tcPr>
            <w:tcW w:w="534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Срок подписания договора с победителем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Не более 10 дней со дня подписания итогового протокола тендера.</w:t>
            </w:r>
          </w:p>
        </w:tc>
      </w:tr>
      <w:tr w:rsidR="00D10CA4" w:rsidRPr="007A578A" w:rsidTr="007A578A">
        <w:tc>
          <w:tcPr>
            <w:tcW w:w="534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00" w:type="dxa"/>
            <w:vAlign w:val="center"/>
          </w:tcPr>
          <w:p w:rsidR="00D10CA4" w:rsidRPr="007A578A" w:rsidRDefault="00D10CA4" w:rsidP="007A578A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Сроки и место подачи заявок</w:t>
            </w:r>
          </w:p>
        </w:tc>
        <w:tc>
          <w:tcPr>
            <w:tcW w:w="6541" w:type="dxa"/>
            <w:vAlign w:val="center"/>
          </w:tcPr>
          <w:p w:rsidR="00D10CA4" w:rsidRPr="007A578A" w:rsidRDefault="00D10CA4" w:rsidP="003D5C3F">
            <w:pPr>
              <w:rPr>
                <w:rFonts w:ascii="Arial" w:hAnsi="Arial" w:cs="Arial"/>
                <w:sz w:val="20"/>
                <w:szCs w:val="20"/>
              </w:rPr>
            </w:pPr>
            <w:r w:rsidRPr="007A578A">
              <w:rPr>
                <w:rFonts w:ascii="Arial" w:hAnsi="Arial" w:cs="Arial"/>
                <w:sz w:val="20"/>
                <w:szCs w:val="20"/>
              </w:rPr>
              <w:t>Период подачи заявки с 8 часов 00 минут «</w:t>
            </w:r>
            <w:r w:rsidR="003D5C3F">
              <w:rPr>
                <w:rFonts w:ascii="Arial" w:hAnsi="Arial" w:cs="Arial"/>
                <w:sz w:val="20"/>
                <w:szCs w:val="20"/>
              </w:rPr>
              <w:t>19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9A6BE8"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 2014г. до 1</w:t>
            </w:r>
            <w:r w:rsidR="007A578A">
              <w:rPr>
                <w:rFonts w:ascii="Arial" w:hAnsi="Arial" w:cs="Arial"/>
                <w:sz w:val="20"/>
                <w:szCs w:val="20"/>
              </w:rPr>
              <w:t>7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 часов 00 минут «</w:t>
            </w:r>
            <w:r w:rsidR="003D5C3F">
              <w:rPr>
                <w:rFonts w:ascii="Arial" w:hAnsi="Arial" w:cs="Arial"/>
                <w:sz w:val="20"/>
                <w:szCs w:val="20"/>
              </w:rPr>
              <w:t>28</w:t>
            </w:r>
            <w:bookmarkStart w:id="0" w:name="_GoBack"/>
            <w:bookmarkEnd w:id="0"/>
            <w:r w:rsidRPr="007A578A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9A6BE8"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7A578A">
              <w:rPr>
                <w:rFonts w:ascii="Arial" w:hAnsi="Arial" w:cs="Arial"/>
                <w:sz w:val="20"/>
                <w:szCs w:val="20"/>
              </w:rPr>
              <w:t xml:space="preserve"> 2014г.  по адресу Заказчика: 456600, Челябинская область, г. Копейск, ул. Ленина, 24, Секретарю закупочной комиссии</w:t>
            </w:r>
            <w:r w:rsidR="007A578A" w:rsidRPr="007A57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A5FC4" w:rsidRDefault="004A5FC4" w:rsidP="00522D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A5FC4" w:rsidRDefault="004A5FC4" w:rsidP="00522DA1"/>
    <w:p w:rsidR="004A5FC4" w:rsidRPr="00E55231" w:rsidRDefault="004A5FC4" w:rsidP="00522DA1"/>
    <w:p w:rsidR="004A5FC4" w:rsidRPr="001C06AD" w:rsidRDefault="004A5FC4" w:rsidP="00CB3A56">
      <w:pPr>
        <w:tabs>
          <w:tab w:val="left" w:pos="5984"/>
        </w:tabs>
      </w:pPr>
      <w:r>
        <w:t xml:space="preserve"> </w:t>
      </w:r>
    </w:p>
    <w:sectPr w:rsidR="004A5FC4" w:rsidRPr="001C06AD" w:rsidSect="001A57D7">
      <w:pgSz w:w="11906" w:h="16838"/>
      <w:pgMar w:top="568" w:right="566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C9F"/>
    <w:multiLevelType w:val="hybridMultilevel"/>
    <w:tmpl w:val="A36C04C4"/>
    <w:lvl w:ilvl="0" w:tplc="4C26C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63B28"/>
    <w:multiLevelType w:val="hybridMultilevel"/>
    <w:tmpl w:val="CDBC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94A8F"/>
    <w:multiLevelType w:val="hybridMultilevel"/>
    <w:tmpl w:val="35AA3A64"/>
    <w:lvl w:ilvl="0" w:tplc="5DC6E8B0">
      <w:start w:val="6"/>
      <w:numFmt w:val="bullet"/>
      <w:lvlText w:val="-"/>
      <w:lvlJc w:val="left"/>
      <w:pPr>
        <w:ind w:left="1030" w:hanging="360"/>
      </w:p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>
    <w:nsid w:val="1F3E4A55"/>
    <w:multiLevelType w:val="hybridMultilevel"/>
    <w:tmpl w:val="BBA2C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0D7BE8"/>
    <w:multiLevelType w:val="hybridMultilevel"/>
    <w:tmpl w:val="9080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656F9"/>
    <w:multiLevelType w:val="hybridMultilevel"/>
    <w:tmpl w:val="957E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43BB0"/>
    <w:multiLevelType w:val="hybridMultilevel"/>
    <w:tmpl w:val="CDBC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23198B"/>
    <w:multiLevelType w:val="hybridMultilevel"/>
    <w:tmpl w:val="9E663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FF1704"/>
    <w:multiLevelType w:val="hybridMultilevel"/>
    <w:tmpl w:val="50B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2023D"/>
    <w:multiLevelType w:val="hybridMultilevel"/>
    <w:tmpl w:val="9514C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874407"/>
    <w:multiLevelType w:val="hybridMultilevel"/>
    <w:tmpl w:val="CDBC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565FF5"/>
    <w:multiLevelType w:val="multilevel"/>
    <w:tmpl w:val="CDBC5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A8D"/>
    <w:rsid w:val="0000121E"/>
    <w:rsid w:val="00015BAC"/>
    <w:rsid w:val="0002580E"/>
    <w:rsid w:val="00035521"/>
    <w:rsid w:val="000950B4"/>
    <w:rsid w:val="000B3392"/>
    <w:rsid w:val="001253DE"/>
    <w:rsid w:val="00136FB4"/>
    <w:rsid w:val="00140B0D"/>
    <w:rsid w:val="00195D2E"/>
    <w:rsid w:val="001A57D7"/>
    <w:rsid w:val="001C06AD"/>
    <w:rsid w:val="001D698B"/>
    <w:rsid w:val="001D7BDD"/>
    <w:rsid w:val="002237CB"/>
    <w:rsid w:val="00224C81"/>
    <w:rsid w:val="00227CCA"/>
    <w:rsid w:val="002441FA"/>
    <w:rsid w:val="002720AE"/>
    <w:rsid w:val="00291938"/>
    <w:rsid w:val="002E6D87"/>
    <w:rsid w:val="002F3739"/>
    <w:rsid w:val="0032702D"/>
    <w:rsid w:val="00340CCD"/>
    <w:rsid w:val="0034150E"/>
    <w:rsid w:val="003A6E10"/>
    <w:rsid w:val="003A7F13"/>
    <w:rsid w:val="003B4A7C"/>
    <w:rsid w:val="003D5C3F"/>
    <w:rsid w:val="003E01A2"/>
    <w:rsid w:val="003E2F1B"/>
    <w:rsid w:val="003E7108"/>
    <w:rsid w:val="003E7854"/>
    <w:rsid w:val="0040709C"/>
    <w:rsid w:val="004A5FC4"/>
    <w:rsid w:val="004C639A"/>
    <w:rsid w:val="005003C6"/>
    <w:rsid w:val="00516753"/>
    <w:rsid w:val="00522DA1"/>
    <w:rsid w:val="00523BEF"/>
    <w:rsid w:val="00526A17"/>
    <w:rsid w:val="00547E74"/>
    <w:rsid w:val="00556E92"/>
    <w:rsid w:val="0058340C"/>
    <w:rsid w:val="005B0C0F"/>
    <w:rsid w:val="005B626C"/>
    <w:rsid w:val="005C1C87"/>
    <w:rsid w:val="005C5A9F"/>
    <w:rsid w:val="005D6167"/>
    <w:rsid w:val="005E01B4"/>
    <w:rsid w:val="005E211F"/>
    <w:rsid w:val="005E31D1"/>
    <w:rsid w:val="005F77BB"/>
    <w:rsid w:val="006064A8"/>
    <w:rsid w:val="00611178"/>
    <w:rsid w:val="00612EE5"/>
    <w:rsid w:val="006163EB"/>
    <w:rsid w:val="00617961"/>
    <w:rsid w:val="00624A8D"/>
    <w:rsid w:val="0062772D"/>
    <w:rsid w:val="00632B96"/>
    <w:rsid w:val="006337B6"/>
    <w:rsid w:val="006601B6"/>
    <w:rsid w:val="0068669F"/>
    <w:rsid w:val="006B7F23"/>
    <w:rsid w:val="00707875"/>
    <w:rsid w:val="00720132"/>
    <w:rsid w:val="007677B2"/>
    <w:rsid w:val="007A578A"/>
    <w:rsid w:val="007A6D21"/>
    <w:rsid w:val="007C7ADC"/>
    <w:rsid w:val="007D1EFF"/>
    <w:rsid w:val="007F1D19"/>
    <w:rsid w:val="00801ED5"/>
    <w:rsid w:val="00827476"/>
    <w:rsid w:val="008406BD"/>
    <w:rsid w:val="008539F3"/>
    <w:rsid w:val="00864382"/>
    <w:rsid w:val="0087799B"/>
    <w:rsid w:val="00880494"/>
    <w:rsid w:val="008A6C2E"/>
    <w:rsid w:val="008B68D5"/>
    <w:rsid w:val="008E1E23"/>
    <w:rsid w:val="008E1ECF"/>
    <w:rsid w:val="008F2D59"/>
    <w:rsid w:val="00922AC5"/>
    <w:rsid w:val="00940568"/>
    <w:rsid w:val="00943A3F"/>
    <w:rsid w:val="00945981"/>
    <w:rsid w:val="00963A82"/>
    <w:rsid w:val="009723F0"/>
    <w:rsid w:val="0098304B"/>
    <w:rsid w:val="009865F2"/>
    <w:rsid w:val="00992923"/>
    <w:rsid w:val="009A0419"/>
    <w:rsid w:val="009A6BE8"/>
    <w:rsid w:val="009C596A"/>
    <w:rsid w:val="009D7D04"/>
    <w:rsid w:val="009E4096"/>
    <w:rsid w:val="009E44FC"/>
    <w:rsid w:val="009F384C"/>
    <w:rsid w:val="00A0329B"/>
    <w:rsid w:val="00A12581"/>
    <w:rsid w:val="00A14ACB"/>
    <w:rsid w:val="00A56308"/>
    <w:rsid w:val="00A57F89"/>
    <w:rsid w:val="00A65F24"/>
    <w:rsid w:val="00AA4BE2"/>
    <w:rsid w:val="00AC00E0"/>
    <w:rsid w:val="00AC60DD"/>
    <w:rsid w:val="00B125DE"/>
    <w:rsid w:val="00B31119"/>
    <w:rsid w:val="00B41552"/>
    <w:rsid w:val="00B91F1A"/>
    <w:rsid w:val="00BE2DEE"/>
    <w:rsid w:val="00BF2C2D"/>
    <w:rsid w:val="00BF451C"/>
    <w:rsid w:val="00C03CFD"/>
    <w:rsid w:val="00C21254"/>
    <w:rsid w:val="00C379B6"/>
    <w:rsid w:val="00CA35BB"/>
    <w:rsid w:val="00CB047A"/>
    <w:rsid w:val="00CB3A56"/>
    <w:rsid w:val="00CB6DAC"/>
    <w:rsid w:val="00CB7EC2"/>
    <w:rsid w:val="00CD25C6"/>
    <w:rsid w:val="00D10B90"/>
    <w:rsid w:val="00D10CA4"/>
    <w:rsid w:val="00D20589"/>
    <w:rsid w:val="00D3246A"/>
    <w:rsid w:val="00D365A1"/>
    <w:rsid w:val="00D46BFE"/>
    <w:rsid w:val="00D615B5"/>
    <w:rsid w:val="00D728D7"/>
    <w:rsid w:val="00D76660"/>
    <w:rsid w:val="00D8324E"/>
    <w:rsid w:val="00D92E2D"/>
    <w:rsid w:val="00D9439A"/>
    <w:rsid w:val="00DA1670"/>
    <w:rsid w:val="00DD1AD7"/>
    <w:rsid w:val="00DE5E4B"/>
    <w:rsid w:val="00E26C2E"/>
    <w:rsid w:val="00E44811"/>
    <w:rsid w:val="00E52BDB"/>
    <w:rsid w:val="00E55231"/>
    <w:rsid w:val="00E72807"/>
    <w:rsid w:val="00E8102E"/>
    <w:rsid w:val="00E91D31"/>
    <w:rsid w:val="00E92B11"/>
    <w:rsid w:val="00EA44EE"/>
    <w:rsid w:val="00EB4FEB"/>
    <w:rsid w:val="00EF5FA4"/>
    <w:rsid w:val="00EF69D8"/>
    <w:rsid w:val="00F15390"/>
    <w:rsid w:val="00F20D42"/>
    <w:rsid w:val="00F45AAF"/>
    <w:rsid w:val="00F632DC"/>
    <w:rsid w:val="00F65991"/>
    <w:rsid w:val="00FB15D0"/>
    <w:rsid w:val="00FB3206"/>
    <w:rsid w:val="00FC41AC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A1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22DA1"/>
    <w:pPr>
      <w:keepNext/>
      <w:widowControl w:val="0"/>
      <w:spacing w:line="360" w:lineRule="auto"/>
      <w:jc w:val="center"/>
      <w:outlineLvl w:val="5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22DA1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53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91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1F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2C2E-1182-44D6-BB0A-B2440ACD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Моисеева Н.А.</cp:lastModifiedBy>
  <cp:revision>6</cp:revision>
  <cp:lastPrinted>2013-07-19T04:48:00Z</cp:lastPrinted>
  <dcterms:created xsi:type="dcterms:W3CDTF">2013-01-18T04:30:00Z</dcterms:created>
  <dcterms:modified xsi:type="dcterms:W3CDTF">2014-08-19T04:20:00Z</dcterms:modified>
</cp:coreProperties>
</file>